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MAHALLİ İDARELER PERSONELİNİN GÖREVDE YÜKSELME VE UNVAN DEĞİŞİKLİĞİ ESASLARINA DAİR YÖNETMELİK</w:t>
      </w:r>
      <w:bookmarkStart w:id="0" w:name="_GoBack"/>
      <w:bookmarkEnd w:id="0"/>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BİRİNCİ BÖLÜM</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Amaç, Kapsam, Dayanak ve Tanımlar</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Amaç</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 –</w:t>
      </w:r>
      <w:r>
        <w:rPr>
          <w:rStyle w:val="apple-converted-space"/>
          <w:rFonts w:ascii="Calibri" w:hAnsi="Calibri"/>
          <w:color w:val="1C283D"/>
          <w:sz w:val="22"/>
          <w:szCs w:val="22"/>
        </w:rPr>
        <w:t> </w:t>
      </w:r>
      <w:r>
        <w:rPr>
          <w:rFonts w:ascii="Calibri" w:hAnsi="Calibri"/>
          <w:color w:val="1C283D"/>
          <w:sz w:val="22"/>
          <w:szCs w:val="22"/>
        </w:rPr>
        <w:t>(1) Bu Yönetmeliğin amacı, liyakat ve kariyer ilkeleri çerçevesinde, hizmet gerekleri ve personel planlaması esas alınarak, mahalli idarelerde görev yapan Devlet memurlarının görevde yükselme ve unvan değişikliklerine ilişkin usul ve esasları düzenlemektir.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Kapsam</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 –</w:t>
      </w:r>
      <w:r>
        <w:rPr>
          <w:rStyle w:val="apple-converted-space"/>
          <w:rFonts w:ascii="Calibri" w:hAnsi="Calibri"/>
          <w:color w:val="1C283D"/>
          <w:sz w:val="22"/>
          <w:szCs w:val="22"/>
        </w:rPr>
        <w:t> </w:t>
      </w:r>
      <w:r>
        <w:rPr>
          <w:rFonts w:ascii="Calibri" w:hAnsi="Calibri"/>
          <w:color w:val="1C283D"/>
          <w:sz w:val="22"/>
          <w:szCs w:val="22"/>
        </w:rPr>
        <w:t>(1) Bu Yönetmelik, il özel idareleri, belediyeler ve bu idarelerin bağlı kuruluşları ile bunların kurdukları birlik, müessese, işletme ve bunlara bağlı döner sermayeli kuruluşlarda, 657 sayılı Devlet Memurları Kanunu hükümlerine tabi olarak görev yapan</w:t>
      </w:r>
      <w:r>
        <w:rPr>
          <w:rStyle w:val="apple-converted-space"/>
          <w:rFonts w:ascii="Calibri" w:hAnsi="Calibri"/>
          <w:color w:val="1C283D"/>
          <w:sz w:val="22"/>
          <w:szCs w:val="22"/>
        </w:rPr>
        <w:t> </w:t>
      </w:r>
      <w:r>
        <w:rPr>
          <w:rFonts w:ascii="Calibri" w:hAnsi="Calibri"/>
          <w:b/>
          <w:bCs/>
          <w:color w:val="1C283D"/>
          <w:sz w:val="22"/>
          <w:szCs w:val="22"/>
        </w:rPr>
        <w:t xml:space="preserve">(Değişik </w:t>
      </w:r>
      <w:proofErr w:type="gramStart"/>
      <w:r>
        <w:rPr>
          <w:rFonts w:ascii="Calibri" w:hAnsi="Calibri"/>
          <w:b/>
          <w:bCs/>
          <w:color w:val="1C283D"/>
          <w:sz w:val="22"/>
          <w:szCs w:val="22"/>
        </w:rPr>
        <w:t>ibare:RG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u w:val="single"/>
        </w:rPr>
        <w:t>devlet memurlarından, 5 inci maddede sayılan kadrolara görevde yükselme veya unvan değişikliği suretiyle</w:t>
      </w:r>
      <w:r>
        <w:rPr>
          <w:rStyle w:val="apple-converted-space"/>
          <w:rFonts w:ascii="Calibri" w:hAnsi="Calibri"/>
          <w:color w:val="1C283D"/>
          <w:sz w:val="22"/>
          <w:szCs w:val="22"/>
        </w:rPr>
        <w:t> </w:t>
      </w:r>
      <w:r>
        <w:rPr>
          <w:rFonts w:ascii="Calibri" w:hAnsi="Calibri"/>
          <w:color w:val="1C283D"/>
          <w:sz w:val="22"/>
          <w:szCs w:val="22"/>
        </w:rPr>
        <w:t>atanacakları kapsar.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Dayanak</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3 –</w:t>
      </w:r>
      <w:r>
        <w:rPr>
          <w:rStyle w:val="apple-converted-space"/>
          <w:rFonts w:ascii="Calibri" w:hAnsi="Calibri"/>
          <w:color w:val="1C283D"/>
          <w:sz w:val="22"/>
          <w:szCs w:val="22"/>
        </w:rPr>
        <w:t> </w:t>
      </w:r>
      <w:r>
        <w:rPr>
          <w:rFonts w:ascii="Calibri" w:hAnsi="Calibri"/>
          <w:color w:val="1C283D"/>
          <w:sz w:val="22"/>
          <w:szCs w:val="22"/>
        </w:rPr>
        <w:t xml:space="preserve">(1) Bu Yönetmelik, </w:t>
      </w:r>
      <w:proofErr w:type="gramStart"/>
      <w:r>
        <w:rPr>
          <w:rFonts w:ascii="Calibri" w:hAnsi="Calibri"/>
          <w:color w:val="1C283D"/>
          <w:sz w:val="22"/>
          <w:szCs w:val="22"/>
        </w:rPr>
        <w:t>14/7/1965</w:t>
      </w:r>
      <w:proofErr w:type="gramEnd"/>
      <w:r>
        <w:rPr>
          <w:rFonts w:ascii="Calibri" w:hAnsi="Calibri"/>
          <w:color w:val="1C283D"/>
          <w:sz w:val="22"/>
          <w:szCs w:val="22"/>
        </w:rPr>
        <w:t xml:space="preserve"> tarihli ve 657 sayılı Devlet Memurları Kanunu, 22/2/2005 tarihli ve 5302 sayılı İl Özel İdaresi Kanunu, 3/7/2005 tarihli ve 5393 sayılı Belediye Kanunu ile 15/3/1999 tarihli ve 99/12647 sayılı Bakanlar Kurulu Kararı ile yürürlüğe konulan Kamu Kurum ve Kuruluşlarında Görevde Yükselme ve Unvan Değişikliği Esaslarına Dair Genel Yönetmelik hükümlerine dayanılarak hazırlanmıştır.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Tanımlar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4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Bu Yönetmelikte geçen;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a) Alt görev: </w:t>
      </w:r>
      <w:proofErr w:type="gramStart"/>
      <w:r>
        <w:rPr>
          <w:rFonts w:ascii="Calibri" w:hAnsi="Calibri"/>
          <w:color w:val="1C283D"/>
          <w:sz w:val="22"/>
          <w:szCs w:val="22"/>
        </w:rPr>
        <w:t>27/9/1984</w:t>
      </w:r>
      <w:proofErr w:type="gramEnd"/>
      <w:r>
        <w:rPr>
          <w:rFonts w:ascii="Calibri" w:hAnsi="Calibri"/>
          <w:color w:val="1C283D"/>
          <w:sz w:val="22"/>
          <w:szCs w:val="22"/>
        </w:rPr>
        <w:t xml:space="preserve"> tarihli ve 3046 sayılı Kanunda belirtilen hiyerarşik kademeler çerçevesinde daha alt hiyerarşi içindeki görevleri,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Alt hizmet grubu: Hizmet grubu içindeki aynı düzey unvanlardan oluşan grupları,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Aynı düzey görev: Hiyerarşi, görev, yetki ve sorumluluk açısından aynı grupta ya da grup içinde alt gruplar olması halinde aynı alt grupta gösterilen görevleri,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 Bakanlık: İçişleri Bakanlığını,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 Görev unvanı: 5 inci maddede sayılan görev grupları içinde belirtilen görev unvanlarını,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 Görevde yükselme: 5 inci maddede sayılan üst görevlere, aynı veya başka hizmet sınıflarından yapılacak atamaları,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f) Görevde yükselme sınavı: Müdür, şube müdürü ve aynı düzeydeki diğer görevlere  atanacaklar için yapılan yazılı ve sözlü sınavı, 5 inci maddenin birinci fıkrasında sayılan diğer unvanlara atanacaklar için yapılan yazılı sınavı,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g) Hizmet grupları: Benzer veya aynı düzeydeki görev unvanlarından oluşan grupları,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ğ) Hizmet süresi: Aylıksız izinli geçen süreler hariç muvazzaf askerlik süresi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657 sayılı Devlet Memurları Kanununun 68 inci maddesinin (B) bendine göre hesaplanan süreleri,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h) İş günü: Ulusal bayram ile genel ve hafta sonu tatil günleri hariç, diğer günleri,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ı) Mahalli idare: 2 </w:t>
      </w:r>
      <w:proofErr w:type="spellStart"/>
      <w:r>
        <w:rPr>
          <w:rFonts w:ascii="Calibri" w:hAnsi="Calibri"/>
          <w:color w:val="1C283D"/>
          <w:sz w:val="22"/>
          <w:szCs w:val="22"/>
        </w:rPr>
        <w:t>nci</w:t>
      </w:r>
      <w:proofErr w:type="spellEnd"/>
      <w:r>
        <w:rPr>
          <w:rFonts w:ascii="Calibri" w:hAnsi="Calibri"/>
          <w:color w:val="1C283D"/>
          <w:sz w:val="22"/>
          <w:szCs w:val="22"/>
        </w:rPr>
        <w:t xml:space="preserve"> maddede belirtilen yerleri,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i) Unvan değişikliği: En az ortaöğretim düzeyinde mesleki veya teknik eğitim sonucu ihraz edilen unvanlara ilişkin kadrolara yapılan atamaları,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j) Unvan değişikliği sınavı: Bu Yönetmelik kapsamındaki personelin, en az orta öğretim düzeyinde mesleki veya teknik eğitim sonucu ihraz edilen unvanlara ilişkin görevlere atanacakların belirlenmesi amacıyla yapılan yazılı sınavı,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k) Üst görev: 3046 sayılı Kanunda belirtilen hiyerarşik kademeler çerçevesinde daha üst hiyerarşi içindeki görevleri,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l) YDS: Yabancı Dil Bilgisi Seviye Tespit Sınavını,</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İKİNCİ BÖLÜM</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lastRenderedPageBreak/>
        <w:t>Görevde Yükselme ve Unvan Değişikliğine İlişkin Esaslar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Görevde yükselme ve unvan değişikliğine tabi kadrolar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5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yükselmeye tabi kadrolar aşağıda belirtilmiştir: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 Yönetim hizmetleri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Müdür, şube müdürü,</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Koruma ve güvenlik görevlisi amiri,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Şef, koruma ve güvenlik şefi, bando şefi.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Hukuk hizmetleri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Hukuk müşaviri.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Bilgi işlem hizmetleri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Çözümleyici.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 Araştırma, planlama ve savunma hizmetleri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Uzman, sivil savunma uzmanı.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 İdari hizmetler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Ayniyat saymanı, muhasebeci, kontrol memuru, eğitmen,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2) Bilgisayar işletmeni, veri hazırlama ve kontrol işletmeni, veznedar, </w:t>
      </w:r>
      <w:proofErr w:type="spellStart"/>
      <w:r>
        <w:rPr>
          <w:rFonts w:ascii="Calibri" w:hAnsi="Calibri"/>
          <w:color w:val="1C283D"/>
          <w:sz w:val="22"/>
          <w:szCs w:val="22"/>
        </w:rPr>
        <w:t>anbar</w:t>
      </w:r>
      <w:proofErr w:type="spellEnd"/>
      <w:r>
        <w:rPr>
          <w:rFonts w:ascii="Calibri" w:hAnsi="Calibri"/>
          <w:color w:val="1C283D"/>
          <w:sz w:val="22"/>
          <w:szCs w:val="22"/>
        </w:rPr>
        <w:t xml:space="preserve"> memuru, ayniyat memuru, belediye trafik memuru, bilet satış memuru, evlendirme memuru, gemi adamı, koruma ve güvenlik görevlisi, gişe memuru, memur, mutemet, sayaç memuru, tahsildar, şoför.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 Yardımcı hizmetler grubu;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Aşçı, bahçıvan, bekçi,  dağıtıcı, gassal, hastabakıcı, hayvan bakıcısı, hayvan kesicisi, hizmetli, çocuk bakıcısı, gemici, bakıcı anne, temizlik hizmetlisi, kaloriferci, sağlık teknisyen yardımcısı, teknisyen yardımcısı, matbaacı.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Unvan değişikliğine tabi kadrolar aşağıda belirtilmiştir: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a) Sanat tarihçisi, arkeolog, dekoratör, desinatör, ekonomist, ev ekonomisti, fizikçi, </w:t>
      </w:r>
      <w:proofErr w:type="gramStart"/>
      <w:r>
        <w:rPr>
          <w:rFonts w:ascii="Calibri" w:hAnsi="Calibri"/>
          <w:color w:val="1C283D"/>
          <w:sz w:val="22"/>
          <w:szCs w:val="22"/>
        </w:rPr>
        <w:t>grafiker</w:t>
      </w:r>
      <w:proofErr w:type="gramEnd"/>
      <w:r>
        <w:rPr>
          <w:rFonts w:ascii="Calibri" w:hAnsi="Calibri"/>
          <w:color w:val="1C283D"/>
          <w:sz w:val="22"/>
          <w:szCs w:val="22"/>
        </w:rPr>
        <w:t xml:space="preserve">, heykeltıraş, </w:t>
      </w:r>
      <w:proofErr w:type="spellStart"/>
      <w:r>
        <w:rPr>
          <w:rFonts w:ascii="Calibri" w:hAnsi="Calibri"/>
          <w:color w:val="1C283D"/>
          <w:sz w:val="22"/>
          <w:szCs w:val="22"/>
        </w:rPr>
        <w:t>hidrobiyolog</w:t>
      </w:r>
      <w:proofErr w:type="spellEnd"/>
      <w:r>
        <w:rPr>
          <w:rFonts w:ascii="Calibri" w:hAnsi="Calibri"/>
          <w:color w:val="1C283D"/>
          <w:sz w:val="22"/>
          <w:szCs w:val="22"/>
        </w:rPr>
        <w:t xml:space="preserve">, hidrolog, istatistikçi, jeofizikçi, jeolog, jeomorfolog, kaptan, kimyager, laborant, matematikçi, mimar, mühendis, </w:t>
      </w:r>
      <w:proofErr w:type="spellStart"/>
      <w:r>
        <w:rPr>
          <w:rFonts w:ascii="Calibri" w:hAnsi="Calibri"/>
          <w:color w:val="1C283D"/>
          <w:sz w:val="22"/>
          <w:szCs w:val="22"/>
        </w:rPr>
        <w:t>paleontolog</w:t>
      </w:r>
      <w:proofErr w:type="spellEnd"/>
      <w:r>
        <w:rPr>
          <w:rFonts w:ascii="Calibri" w:hAnsi="Calibri"/>
          <w:color w:val="1C283D"/>
          <w:sz w:val="22"/>
          <w:szCs w:val="22"/>
        </w:rPr>
        <w:t xml:space="preserve">, pilot, ressam, </w:t>
      </w:r>
      <w:proofErr w:type="spellStart"/>
      <w:r>
        <w:rPr>
          <w:rFonts w:ascii="Calibri" w:hAnsi="Calibri"/>
          <w:color w:val="1C283D"/>
          <w:sz w:val="22"/>
          <w:szCs w:val="22"/>
        </w:rPr>
        <w:t>restoratör</w:t>
      </w:r>
      <w:proofErr w:type="spellEnd"/>
      <w:r>
        <w:rPr>
          <w:rFonts w:ascii="Calibri" w:hAnsi="Calibri"/>
          <w:color w:val="1C283D"/>
          <w:sz w:val="22"/>
          <w:szCs w:val="22"/>
        </w:rPr>
        <w:t xml:space="preserve">, şehir plancısı, teknik ressam, tekniker, teknisyen, topograf, peyzaj mimarı, ölçü ve ayar memuru, antropolog, bakteriyolog, </w:t>
      </w:r>
      <w:proofErr w:type="spellStart"/>
      <w:r>
        <w:rPr>
          <w:rFonts w:ascii="Calibri" w:hAnsi="Calibri"/>
          <w:color w:val="1C283D"/>
          <w:sz w:val="22"/>
          <w:szCs w:val="22"/>
        </w:rPr>
        <w:t>biolog</w:t>
      </w:r>
      <w:proofErr w:type="spellEnd"/>
      <w:r>
        <w:rPr>
          <w:rFonts w:ascii="Calibri" w:hAnsi="Calibri"/>
          <w:color w:val="1C283D"/>
          <w:sz w:val="22"/>
          <w:szCs w:val="22"/>
        </w:rPr>
        <w:t xml:space="preserve">, çocuk gelişimcisi, diş protez teknisyeni, diyetisyen, ebe, </w:t>
      </w:r>
      <w:proofErr w:type="spellStart"/>
      <w:r>
        <w:rPr>
          <w:rFonts w:ascii="Calibri" w:hAnsi="Calibri"/>
          <w:color w:val="1C283D"/>
          <w:sz w:val="22"/>
          <w:szCs w:val="22"/>
        </w:rPr>
        <w:t>fizikoterapist</w:t>
      </w:r>
      <w:proofErr w:type="spellEnd"/>
      <w:r>
        <w:rPr>
          <w:rFonts w:ascii="Calibri" w:hAnsi="Calibri"/>
          <w:color w:val="1C283D"/>
          <w:sz w:val="22"/>
          <w:szCs w:val="22"/>
        </w:rPr>
        <w:t xml:space="preserve">, fizyoterapist, hemşire, </w:t>
      </w:r>
      <w:proofErr w:type="spellStart"/>
      <w:r>
        <w:rPr>
          <w:rFonts w:ascii="Calibri" w:hAnsi="Calibri"/>
          <w:color w:val="1C283D"/>
          <w:sz w:val="22"/>
          <w:szCs w:val="22"/>
        </w:rPr>
        <w:t>odyolog</w:t>
      </w:r>
      <w:proofErr w:type="spellEnd"/>
      <w:r>
        <w:rPr>
          <w:rFonts w:ascii="Calibri" w:hAnsi="Calibri"/>
          <w:color w:val="1C283D"/>
          <w:sz w:val="22"/>
          <w:szCs w:val="22"/>
        </w:rPr>
        <w:t xml:space="preserve">, pedagog, psikolog, radyoterapist, sağlık fizikçisi, sağlık memuru, sağlık teknikeri, sağlık teknisyeni, sosyal çalışmacı, sosyal hizmet uzmanı, tıbbi </w:t>
      </w:r>
      <w:proofErr w:type="spellStart"/>
      <w:r>
        <w:rPr>
          <w:rFonts w:ascii="Calibri" w:hAnsi="Calibri"/>
          <w:color w:val="1C283D"/>
          <w:sz w:val="22"/>
          <w:szCs w:val="22"/>
        </w:rPr>
        <w:t>teknolog</w:t>
      </w:r>
      <w:proofErr w:type="spellEnd"/>
      <w:r>
        <w:rPr>
          <w:rFonts w:ascii="Calibri" w:hAnsi="Calibri"/>
          <w:color w:val="1C283D"/>
          <w:sz w:val="22"/>
          <w:szCs w:val="22"/>
        </w:rPr>
        <w:t>, veteriner hekim, veteriner sağlık teknikeri, veteriner sağlık teknisyeni, sosyolog, programcı, kütüphaneci, mütercim, tercüman, avukat, imam, kameraman, çocuk eğitimcisi, çocuk eğiticisi, antrenör, fotoğrafçı, dalgıç, balık adam, bandocu.</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Görevde yükselme suretiyle atanacaklarda aranacak genel şartlar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xml:space="preserve">MADDE 6 – (Başlığı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 suretiyle atanacaklarda aşağıdaki genel şartlar aranır.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 Görevde yükselme sınavında başarılı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Bu Yönetmelik kapsamındaki kadrolara atanabilmek için son müracaat tarihi itibariyle 5 inci maddede öngörülen alt görevlerde toplam en az bir yıl çalışmış olmak. Ancak yeni kurulan mahalli idarelerde ilk yıl bu süre şartı aranmaz.</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Görevde yükselme sınavına tabi olarak atanacaklarda aranacak özel şartlar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7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5 inci maddenin birinci fıkrasında sayılan unvanlara görevde yükselme suretiyle yapılacak atamalarda aşağıdaki özel şartlar aranır.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 Müdür ve şube müdürü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657 sayılı Kanunun 68 inci maddesinin (B) bendinde belirtilen atanma şartlarını taşımak,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Fakülte veya en az dört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Ekli (1) sayılı listede sayılan ve teknik öğrenim gerektiren müdürlüklere atanabilmek için; yükseköğretim kurumlarının, kadronun görev alanı ile ilgili eğitim ve öğretimde bulunan en az dört yıllık bölümlerinden veya bu bölümlere denkliği kabul edilen yurtdışındaki yükseköğretim kurumlarının ilgili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lastRenderedPageBreak/>
        <w:t>4) Ekli (2) sayılı listede sayılan müdürlükler için son müracaat tarihi itibariyle iki yılı uzman, sivil savunma uzmanı, şef, ayniyat saymanı, kontrol memuru, eğitmen veya muhasebeci kadrosunda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Hukuk müşaviri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Hukuk Fakültesi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Çözümleyici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en az dört yıllık yüksekokulların; bilgisayar, elektrik, elektronik, elektrik-elektronik, elektronik ve haberleşme, endüstri, fizik, matematik mühendislikleri ile matematik, fizik veya istatistik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En az iki bilgisayar dilini bildiğini mezun olduğu okuldan alacağı belge veya Milli Eğitim Bakanlığından onaylı kurs sertifikası ile belgelemek,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En az iki bilgisayar işletim sisteminin uygulamasını bildiğini belgelemek,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 Koruma ve güvenlik görevlisi amiri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en az iki yıl koruma ve güvenlik şefi kadrosunda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 Koruma ve güvenlik şefi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en az iki yıl koruma ve güvenlik görevlisi kadrosunda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 Şef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5 inci maddenin birinci fıkrasının (d) bendinin (2) numaralı alt bendinde sayılan görevlerde en az iki yıl süreyle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f) Uzman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dört yıllık yüksekokul veya fakültelerden veya bunlara denkliği kabul edilen yurtdışındaki yükseköğretim kurumlarından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5 inci maddenin birinci fıkrasının (d) bendinin (2) numaralı alt bendinde sayılan görevlerde en az iki yıl süreyle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g) Sivil savunma uzmanı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dört yıllık yüksekokul veya fakültelerden  veya bunlara denkliği kabul edilen yurtdışındaki yükseköğretim kurumlarından mezun olmak,</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2) Son müracaat tarihi itibariyle 5 inci maddenin birinci fıkrasının (d) bendinin (2) numaralı alt bendinde sayılan görevlerde en az iki yıl süreyle veya şef, koruma ve güvenlik şefi, çözümleyici, ayniyat saymanı, muhasebeci, kontrol memuru, eğitmen kadroları ile en az lisans düzeyinde öğrenim gerektiren unvan değişikliğine tabi kadrolardan birinde çalışıyor olmak,</w:t>
      </w:r>
      <w:proofErr w:type="gramEnd"/>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ğ) Ayniyat saymanı, kontrol memuru ve muhasebeci kadrolarına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5 inci maddenin birinci fıkrasının (d) bendinin (2) numaralı alt bendinde sayılan görevlerde en az iki yıl süreyle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h) Eğitmen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Fakültelerin, yüksekokulların, meslek veya teknik liselerin ilgili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5 inci maddenin birinci fıkrasının (d) bendinin (2) numaralı alt bendinde sayılan görevlerde en az iki yıl süreyle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ı) Bando şefi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yıllık yüksekokul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müracaat tarihi itibariyle bandocu olarak en az iki yıl süreyle çalışmış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i) Bilgisayar işletmeni, veri hazırlama ve kontrol işletmeni, veznedar, </w:t>
      </w:r>
      <w:proofErr w:type="spellStart"/>
      <w:r>
        <w:rPr>
          <w:rFonts w:ascii="Calibri" w:hAnsi="Calibri"/>
          <w:color w:val="1C283D"/>
          <w:sz w:val="22"/>
          <w:szCs w:val="22"/>
        </w:rPr>
        <w:t>anbar</w:t>
      </w:r>
      <w:proofErr w:type="spellEnd"/>
      <w:r>
        <w:rPr>
          <w:rFonts w:ascii="Calibri" w:hAnsi="Calibri"/>
          <w:color w:val="1C283D"/>
          <w:sz w:val="22"/>
          <w:szCs w:val="22"/>
        </w:rPr>
        <w:t xml:space="preserve"> memuru, ayniyat memuru, belediye trafik memuru, bilet satış memuru, evlendirme memuru, gişe memuru, memur, mutemet, sayaç memuru ve tahsildar kadrolarına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ortaöğrenim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lastRenderedPageBreak/>
        <w:t>2) Veri hazırlama ve kontrol işletmeni ile bilgisayar işletmeni kadrolarına atanabilmek için ayrıca Milli Eğitim Bakanlığı onaylı bilgisayar işletmeni sertifikasına sahip olmak veya bitirdiği okulun ders müfredatında en az iki dönem bilgisayarla ilgili ders aldığını belgelemek,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Yardımcı hizmetler sınıfında görev yapan personelin en az dört yıl hizmeti bulunmak,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j) Gemi adamı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ortaöğrenim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Mesleği ile ilgili ehliyet belgesine sahip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k) Koruma ve güvenlik görevlisi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ortaöğrenim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5188 sayılı Özel Güvenlik Hizmetlerine Dair Kanunda belirtilen şartları taşımak,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3) </w:t>
      </w:r>
      <w:proofErr w:type="gramStart"/>
      <w:r>
        <w:rPr>
          <w:rFonts w:ascii="Calibri" w:hAnsi="Calibri"/>
          <w:color w:val="1C283D"/>
          <w:sz w:val="22"/>
          <w:szCs w:val="22"/>
        </w:rPr>
        <w:t>7/10/2004</w:t>
      </w:r>
      <w:proofErr w:type="gramEnd"/>
      <w:r>
        <w:rPr>
          <w:rFonts w:ascii="Calibri" w:hAnsi="Calibri"/>
          <w:color w:val="1C283D"/>
          <w:sz w:val="22"/>
          <w:szCs w:val="22"/>
        </w:rPr>
        <w:t xml:space="preserve"> tarihli ve 25606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Özel Güvenlik Hizmetlerine Dair Kanunun Uygulanmasına İlişkin Yönetmelikte belirtilen sağlık şartlarını taşımak,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l) Şoför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ortaöğrenim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2) </w:t>
      </w:r>
      <w:proofErr w:type="gramStart"/>
      <w:r>
        <w:rPr>
          <w:rFonts w:ascii="Calibri" w:hAnsi="Calibri"/>
          <w:color w:val="1C283D"/>
          <w:sz w:val="22"/>
          <w:szCs w:val="22"/>
        </w:rPr>
        <w:t>13/10/1983</w:t>
      </w:r>
      <w:proofErr w:type="gramEnd"/>
      <w:r>
        <w:rPr>
          <w:rFonts w:ascii="Calibri" w:hAnsi="Calibri"/>
          <w:color w:val="1C283D"/>
          <w:sz w:val="22"/>
          <w:szCs w:val="22"/>
        </w:rPr>
        <w:t xml:space="preserve"> tarihli ve 2918 sayılı Karayolları Trafik Kanununun 38 inci maddesi gereğince belirlenen en az (E) tipi sürücü belgesine sahip olmak,</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gerekir</w:t>
      </w:r>
      <w:proofErr w:type="gramEnd"/>
      <w:r>
        <w:rPr>
          <w:rFonts w:ascii="Calibri" w:hAnsi="Calibri"/>
          <w:color w:val="1C283D"/>
          <w:sz w:val="22"/>
          <w:szCs w:val="22"/>
        </w:rPr>
        <w:t>.</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Unvan değişikliği sınavına tabi olan kadrolara atanacaklarda aranacak genel şartlar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8 –</w:t>
      </w:r>
      <w:r>
        <w:rPr>
          <w:rStyle w:val="apple-converted-space"/>
          <w:rFonts w:ascii="Calibri" w:hAnsi="Calibri"/>
          <w:color w:val="1C283D"/>
          <w:sz w:val="22"/>
          <w:szCs w:val="22"/>
        </w:rPr>
        <w:t> </w:t>
      </w:r>
      <w:r>
        <w:rPr>
          <w:rFonts w:ascii="Calibri" w:hAnsi="Calibri"/>
          <w:color w:val="1C283D"/>
          <w:sz w:val="22"/>
          <w:szCs w:val="22"/>
        </w:rPr>
        <w:t>(1) Unvan değişikliği suretiyle atanacaklarda aşağıdaki genel şartlar aranır.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Unvan değişikliği sınavında başarılı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Yükseköğrenim mezunu olanların 1-4 dereceli kadrolara atanmaları için 657 sayılı Kanunun 68 inci maddesinin (B) bendinde belirtilen süre kadar hizmeti bulunmak.</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Unvan değişikliği suretiyle atanacaklarda aranacak özel şartlar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9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Unvan değişikliği suretiyle atanacaklarda aşağıdaki özel şartlar aranır.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a) Mühendis, mimar, peyzaj mimarı, sanat tarihçisi, arkeolog, dekoratör, desinatör, ev ekonomisti, fizikçi, heykeltıraş, </w:t>
      </w:r>
      <w:proofErr w:type="spellStart"/>
      <w:r>
        <w:rPr>
          <w:rFonts w:ascii="Calibri" w:hAnsi="Calibri"/>
          <w:color w:val="1C283D"/>
          <w:sz w:val="22"/>
          <w:szCs w:val="22"/>
        </w:rPr>
        <w:t>hidrobiyolog</w:t>
      </w:r>
      <w:proofErr w:type="spellEnd"/>
      <w:r>
        <w:rPr>
          <w:rFonts w:ascii="Calibri" w:hAnsi="Calibri"/>
          <w:color w:val="1C283D"/>
          <w:sz w:val="22"/>
          <w:szCs w:val="22"/>
        </w:rPr>
        <w:t xml:space="preserve">, </w:t>
      </w:r>
      <w:proofErr w:type="gramStart"/>
      <w:r>
        <w:rPr>
          <w:rFonts w:ascii="Calibri" w:hAnsi="Calibri"/>
          <w:color w:val="1C283D"/>
          <w:sz w:val="22"/>
          <w:szCs w:val="22"/>
        </w:rPr>
        <w:t>hidrolog</w:t>
      </w:r>
      <w:proofErr w:type="gramEnd"/>
      <w:r>
        <w:rPr>
          <w:rFonts w:ascii="Calibri" w:hAnsi="Calibri"/>
          <w:color w:val="1C283D"/>
          <w:sz w:val="22"/>
          <w:szCs w:val="22"/>
        </w:rPr>
        <w:t xml:space="preserve">, jeofizikçi, jeolog, jeomorfolog, kimyager, matematikçi, </w:t>
      </w:r>
      <w:proofErr w:type="spellStart"/>
      <w:r>
        <w:rPr>
          <w:rFonts w:ascii="Calibri" w:hAnsi="Calibri"/>
          <w:color w:val="1C283D"/>
          <w:sz w:val="22"/>
          <w:szCs w:val="22"/>
        </w:rPr>
        <w:t>paleentolog</w:t>
      </w:r>
      <w:proofErr w:type="spellEnd"/>
      <w:r>
        <w:rPr>
          <w:rFonts w:ascii="Calibri" w:hAnsi="Calibri"/>
          <w:color w:val="1C283D"/>
          <w:sz w:val="22"/>
          <w:szCs w:val="22"/>
        </w:rPr>
        <w:t xml:space="preserve">, pilot, </w:t>
      </w:r>
      <w:proofErr w:type="spellStart"/>
      <w:r>
        <w:rPr>
          <w:rFonts w:ascii="Calibri" w:hAnsi="Calibri"/>
          <w:color w:val="1C283D"/>
          <w:sz w:val="22"/>
          <w:szCs w:val="22"/>
        </w:rPr>
        <w:t>restoratör</w:t>
      </w:r>
      <w:proofErr w:type="spellEnd"/>
      <w:r>
        <w:rPr>
          <w:rFonts w:ascii="Calibri" w:hAnsi="Calibri"/>
          <w:color w:val="1C283D"/>
          <w:sz w:val="22"/>
          <w:szCs w:val="22"/>
        </w:rPr>
        <w:t xml:space="preserve">, şehir plancısı, antropolog, bakteriyolog, biyolog, veteriner hekim, diyetisyen, </w:t>
      </w:r>
      <w:proofErr w:type="spellStart"/>
      <w:r>
        <w:rPr>
          <w:rFonts w:ascii="Calibri" w:hAnsi="Calibri"/>
          <w:color w:val="1C283D"/>
          <w:sz w:val="22"/>
          <w:szCs w:val="22"/>
        </w:rPr>
        <w:t>fizikoterapist</w:t>
      </w:r>
      <w:proofErr w:type="spellEnd"/>
      <w:r>
        <w:rPr>
          <w:rFonts w:ascii="Calibri" w:hAnsi="Calibri"/>
          <w:color w:val="1C283D"/>
          <w:sz w:val="22"/>
          <w:szCs w:val="22"/>
        </w:rPr>
        <w:t xml:space="preserve">, fizyoterapist, radyoterapist, pedagog, psikolog, sosyal çalışmacı, sosyal hizmet uzmanı, sosyolog,  kütüphaneci, </w:t>
      </w:r>
      <w:proofErr w:type="spellStart"/>
      <w:r>
        <w:rPr>
          <w:rFonts w:ascii="Calibri" w:hAnsi="Calibri"/>
          <w:color w:val="1C283D"/>
          <w:sz w:val="22"/>
          <w:szCs w:val="22"/>
        </w:rPr>
        <w:t>odyolog</w:t>
      </w:r>
      <w:proofErr w:type="spellEnd"/>
      <w:r>
        <w:rPr>
          <w:rFonts w:ascii="Calibri" w:hAnsi="Calibri"/>
          <w:color w:val="1C283D"/>
          <w:sz w:val="22"/>
          <w:szCs w:val="22"/>
        </w:rPr>
        <w:t xml:space="preserve">, sağlık fizikçisi, tıbbi </w:t>
      </w:r>
      <w:proofErr w:type="spellStart"/>
      <w:r>
        <w:rPr>
          <w:rFonts w:ascii="Calibri" w:hAnsi="Calibri"/>
          <w:color w:val="1C283D"/>
          <w:sz w:val="22"/>
          <w:szCs w:val="22"/>
        </w:rPr>
        <w:t>teknolog</w:t>
      </w:r>
      <w:proofErr w:type="spellEnd"/>
      <w:r>
        <w:rPr>
          <w:rFonts w:ascii="Calibri" w:hAnsi="Calibri"/>
          <w:color w:val="1C283D"/>
          <w:sz w:val="22"/>
          <w:szCs w:val="22"/>
        </w:rPr>
        <w:t xml:space="preserve"> kadrolarına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en az dört yıllık yüksekokulların ilgili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Öğrenim durumu itibarıyla atanacağı kadro unvanını ihraz etmiş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Ekonomist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en az dört yıllık yüksekokulların ekonomi, iktisat, işletme, maliye veya bankacılık-finans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İstatistikçi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en az dört yıllık yüksekokulların istatistik veya ekonometri bölümü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 Grafiker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yüksekokulların grafik-tasarımla ilgili bölümlerinden birisinden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 Avukat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Hukuk Fakültesi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Avukatlık stajını yapmış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 Mütercim ve tercüman kadrolarına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 veya en az dört yıllık yüksekokulların filoloji, mütercim ve tercümanlık bölümlerinden veya ilgili diğer bölümlerden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Yabancı Dil Bilgisi Seviye Tespit Sınavında (A) düzeyinde puan almış olmak veya buna denk kabul edilen ve uluslararası geçerliliği bulunan bir belgeye sahip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f) Programcı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1) Bilgisayar programcılığı alanında en az iki yıllık </w:t>
      </w:r>
      <w:proofErr w:type="gramStart"/>
      <w:r>
        <w:rPr>
          <w:rFonts w:ascii="Calibri" w:hAnsi="Calibri"/>
          <w:color w:val="1C283D"/>
          <w:sz w:val="22"/>
          <w:szCs w:val="22"/>
        </w:rPr>
        <w:t>yüksek okul</w:t>
      </w:r>
      <w:proofErr w:type="gramEnd"/>
      <w:r>
        <w:rPr>
          <w:rFonts w:ascii="Calibri" w:hAnsi="Calibri"/>
          <w:color w:val="1C283D"/>
          <w:sz w:val="22"/>
          <w:szCs w:val="22"/>
        </w:rPr>
        <w:t xml:space="preserve">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lastRenderedPageBreak/>
        <w:t>2) En az iki programlama dilini bildiğini belgelemek,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g) Hemşire, sağlık memuru, laborant, ebe, sağlık teknikeri, sağlık teknisyeni, veteriner sağlık teknisyeni, veteriner sağlık teknikeri, çocuk rehberi ve gözetimcisi, çocuk eğitimcisi, çocuk eğiticisi, çocuk gelişimcisi, diş </w:t>
      </w:r>
      <w:proofErr w:type="gramStart"/>
      <w:r>
        <w:rPr>
          <w:rFonts w:ascii="Calibri" w:hAnsi="Calibri"/>
          <w:color w:val="1C283D"/>
          <w:sz w:val="22"/>
          <w:szCs w:val="22"/>
        </w:rPr>
        <w:t>protez</w:t>
      </w:r>
      <w:proofErr w:type="gramEnd"/>
      <w:r>
        <w:rPr>
          <w:rFonts w:ascii="Calibri" w:hAnsi="Calibri"/>
          <w:color w:val="1C283D"/>
          <w:sz w:val="22"/>
          <w:szCs w:val="22"/>
        </w:rPr>
        <w:t xml:space="preserve"> teknisyeni, ressam, kameraman kadrolarına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Fakültelerin, yüksekokulların, sağlık meslek liselerinin veya meslek liselerinin ilgili bölümlerinden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ğ) Kaptan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ortaöğretim veya dengi okul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Mesleği ile ilgili ehliyet belgesine sahip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h) Tekniker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iki yıl süreli mesleki veya teknik yüksekokulların teknik bölümlerinden tekniker unvanı ile mezun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ı) Teknik ressam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meslek lisesi veya dengi diğer teknik lise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i) Topograf, teknisyen, ölçü ve ayar memuru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Endüstri meslek lisesi, kız meslek lisesi ve/veya dengi diğer teknik lise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j) Antrenör, fotoğrafçı, dalgıç, balık adam, bandocu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En az ortaöğretim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Özel mevzuatında öngörülen diploma veya kurs bitirme belgesine sahip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k) İmam kadrosuna atanabilmek için;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İmam hatip lisesi veya ilahiyat fakültesi mezunu olmak,</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Kadronun gerektirdiği yeterlilik belgesine sahip olmak,</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gerekir</w:t>
      </w:r>
      <w:proofErr w:type="gramEnd"/>
      <w:r>
        <w:rPr>
          <w:rFonts w:ascii="Calibri" w:hAnsi="Calibri"/>
          <w:color w:val="1C283D"/>
          <w:sz w:val="22"/>
          <w:szCs w:val="22"/>
        </w:rPr>
        <w:t>.</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ÜÇÜNCÜ BÖLÜM</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xml:space="preserve">(Mülga </w:t>
      </w:r>
      <w:proofErr w:type="gramStart"/>
      <w:r>
        <w:rPr>
          <w:rFonts w:ascii="Calibri" w:hAnsi="Calibri"/>
          <w:b/>
          <w:bCs/>
          <w:color w:val="1C283D"/>
          <w:sz w:val="22"/>
          <w:szCs w:val="22"/>
        </w:rPr>
        <w:t>başlık:RG</w:t>
      </w:r>
      <w:proofErr w:type="gramEnd"/>
      <w:r>
        <w:rPr>
          <w:rFonts w:ascii="Calibri" w:hAnsi="Calibri"/>
          <w:b/>
          <w:bCs/>
          <w:color w:val="1C283D"/>
          <w:sz w:val="22"/>
          <w:szCs w:val="22"/>
        </w:rPr>
        <w:t>-7/5/2014-28993)</w:t>
      </w:r>
      <w:r>
        <w:rPr>
          <w:rStyle w:val="apple-converted-space"/>
          <w:rFonts w:ascii="Calibri" w:hAnsi="Calibri"/>
          <w:color w:val="1C283D"/>
          <w:sz w:val="22"/>
          <w:szCs w:val="22"/>
        </w:rPr>
        <w:t> </w:t>
      </w:r>
      <w:r>
        <w:rPr>
          <w:rFonts w:ascii="Calibri" w:hAnsi="Calibri"/>
          <w:b/>
          <w:bCs/>
          <w:color w:val="1C283D"/>
          <w:sz w:val="22"/>
          <w:szCs w:val="22"/>
        </w:rPr>
        <w:t>(…)</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Sınav şartı</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10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Müdür, şube müdürü ve bunlarla aynı düzeydeki görevlere görevde yükselme suretiyle atanacakların yazılı ve sözlü sınavda; diğer görevlere görevde yükselme suretiyle atanacak personelin ise yazılı sınavda başarılı olmaları gerekir.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Duyuru ve başvuru</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11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 suretiyle atama yapılacak boş kadroların sınıfı, unvanı, derecesi, hangi birimde bulunduğu ve aranacak şartlar, her yılın 15 Ocak tarihine kadar duyurulur. İlgililerin müracaatları 1 Şubat tarihine kadar alınır. Duyuruda yazılı sınava ilişkin olarak Bakanlıkça belirlenen konu başlıklarına yer verilir.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İlan edilen boş kadrolar için belirlenen başvuru tarihinin son günü itibarıyla aranan nitelikleri taşıyan personel, başvuru şartlarını taşıdığı farklı unvanlı kadrolardan sadece biri için duyuruda belirtilen şekilde başvuruda bulunabilir. Başvurular, ilanda belirtilmesi şartıyla elektronik ortamda da yapılabilir.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Aylıksız izinde bulunanlar dâhil olmak üzere, ilgili mevzuatı uyarınca verilen izinleri kullanmakta olanların da başvuruda bulunarak sınava katılmaları mümkündür.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(4) Aday memurlar bu kadrolar için başvuruda bulunamazlar.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(5) Mahalli idarelerin personel işlerinden sorumlu birimlerine yapılan başvurular incelenerek, aranan şartları taşıyanlar kurumlarınca 15 Şubat tarihine kadar resmi internet sitelerinde ilan edilir. Görevde yükselme sınavına katılma şartlarını taşımayanlara durumu gerekçesi ile bildirilir. Söz konusu listeye ilişkin olarak ilan tarihinden itibaren beş iş günü içinde ilgili mahalli idarenin sınav kuruluna itiraz edilebilir. İtirazlar beş iş günü içinde ilgili sınav kurulunca sonuçlandırılır.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(6) Bu Yönetmelik kapsamında bulunan personelin, görevde yükselme suretiyle atamalarının yapılması amacıyla, ilgili mahalli idareler her yılın Şubat ayı sonuna kadar görevde yükselmeye ilişkin </w:t>
      </w:r>
      <w:r>
        <w:rPr>
          <w:rFonts w:ascii="Calibri" w:hAnsi="Calibri"/>
          <w:color w:val="1C283D"/>
          <w:sz w:val="22"/>
          <w:szCs w:val="22"/>
        </w:rPr>
        <w:lastRenderedPageBreak/>
        <w:t>yazılı sınava tabi tutmak istedikleri personelin niteliklerini ve sayısını valiliklere bildirir.  Valiliklere gelen listeler birleştirilerek tek liste halinde en geç 15 Mart tarihine kadar Bakanlığa gönderilir.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(7) Yazılı sınavlara katılacakların listesi Bakanlık tarafından sınavı yapacak kuruma bildirilir.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Görevde yükselme eğitiminin konuları</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12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DÖRDÜNCÜ BÖLÜM</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Görevde Yükselme ve Unvan Değişikliği Sınavına İlişkin Esaslar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Yazılı sınav</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xml:space="preserve">MADDE 13 – (Başlığı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 suretiyle atanacakların yazılı sınavı, Bakanlık tarafından, Ölçme, Seçme ve Yerleştirme Merkezi Başkanlığına, Milli Eğitim Bakanlığına, Türkiye ve Orta Doğu Amme İdaresi Enstitüsüne veya yükseköğretim kurumlarından birine yapılacak protokol hükümleri çerçevesinde ilgili kurumun tabi olduğu mevzuat hükümlerine göre yaptırılır.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Yazılı sınav, yüz tam puan üzerinden değerlendirilir. Yazılı sınavda başarılı sayılmak için en az yetmiş puan alınması zorunlu olup duyuruda belirtilir.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Yazılı sınav sonuçları, sınavı yapan kurum tarafından Bakanlığa bildirildiği tarihten itibaren en geç on gün içinde Mahalli İdareler Genel Müdürlüğünün resmi internet sitesinde ilan edilir. Ayrıca sınav sonuçları ilgilisine yazılı olarak tebliğ edilmek üzere ilgili mahalli idarelere gönderilir.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(4) Yazılı sınavın gerçekleştirilmesi ve itirazlar, Bakanlık ile sınavı yapacak kurum arasında düzenlenecek protokol çerçevesinde yürütülür.  Yazılı sınav sonuçlarına yapılacak itiraz, yetkili kılınan kurum tarafından kendi mevzuatı çerçevesinde karara bağlanır ve ilgililere bildirilir.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Sözlü sınav</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14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Sözlü sınav, ilgili mahalli idare tarafından yapılır. Şube müdürü, müdür ve bunlarla aynı düzeydeki diğer görevlere atanacaklardan yazılı sınavda başarılı olanlardan en yüksek puan alan adaydan başlamak üzere ilan edilen kadro sayısının beş katına kadar aday sözlü sınava alınır.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Son adayla aynı puana sahip olan personelin tamamı sözlü sınava alınır.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İlgili personel, sınav kurulunun her bir üyesi tarafından;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 Sınav konularına ilişkin bilgi düzeyi,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Bir konuyu kavrayıp özetleme, ifade yeteneği ve muhakeme gücü,</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Liyakati, temsil kabiliyeti, tutum ve davranışlarının göreve uygunluğu,</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 Özgüveni, ikna kabiliyeti ve inandırıcılığı,</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 Genel kültürü ve genel yeteneği,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 Bilimsel ve teknolojik gelişmelere açıklığı,</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esas</w:t>
      </w:r>
      <w:proofErr w:type="gramEnd"/>
      <w:r>
        <w:rPr>
          <w:rFonts w:ascii="Calibri" w:hAnsi="Calibri"/>
          <w:color w:val="1C283D"/>
          <w:sz w:val="22"/>
          <w:szCs w:val="22"/>
        </w:rPr>
        <w:t xml:space="preserve"> alınarak yüz tam puan üzerinden değerlendirilir.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(4) Her üyenin vermiş olduğu puanların aritmetik ortalaması alınarak personelin sözlü sınav puanı tespit edilir.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(5) Sözlü sınavda yüz üzerinden en az yetmiş puan alanlar başarılı sayılır.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Sınav kurulu ve görevleri</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15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Mahalli idarece yazılı ve sözlü sınavlara ilişkin görevde yükselme işlemlerini yürütmek üzere beş kişiden oluşan sınav kurulu teşkil edilir. Sınav kurulu, atamaya yetkili amir veya görevlendireceği kişinin başkanlığında, üyelerden biri personel işlerinden sorumlu birim temsilcisi olmak üzere, atamaya yetkili amirce belirlenecek toplam beş üyeden teşekkül eder. Aynı usulle birer yedek üye belirlenir. İhtiyaç duyulması halinde kurum dışından da kamu görevlileri sınav kurulunda üye olarak görevlendirilebilir.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Sınav kurulunu teşkil eden üyeler, görevde yükselme sınavı ile alınacak personelden; görev, lisansüstü hariç öğrenim ve ihraz ettikleri unvanlar itibarıyla daha düşük seviyede olamazlar.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Görevde yükselme sınavına sınav kurulunun başkan ve üyelerinin eşlerinin, ikinci dereceye kadar (bu derece dâhil) kan ve sıhrî hısımlarının katıldığının tespit edilmesi halinde, bu üye veya üyeler sınav kurulu üyeliğinden çıkartılır ve bunların yerine yedek üye veya üyeler görevlendirilir.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lastRenderedPageBreak/>
        <w:t xml:space="preserve">(4) </w:t>
      </w:r>
      <w:proofErr w:type="gramStart"/>
      <w:r>
        <w:rPr>
          <w:rFonts w:ascii="Calibri" w:hAnsi="Calibri"/>
          <w:color w:val="1C283D"/>
          <w:sz w:val="22"/>
          <w:szCs w:val="22"/>
        </w:rPr>
        <w:t>Sınav kurulu</w:t>
      </w:r>
      <w:proofErr w:type="gramEnd"/>
      <w:r>
        <w:rPr>
          <w:rFonts w:ascii="Calibri" w:hAnsi="Calibri"/>
          <w:color w:val="1C283D"/>
          <w:sz w:val="22"/>
          <w:szCs w:val="22"/>
        </w:rPr>
        <w:t>; başvurulara ilişkin itirazların sonuçlandırılması, sözlü sınavların yapılması, değerlendirilmesi, başarı listesinin düzenlenmesi, sınav sonuçlarının ilanı, sözlü sınavlara ilişkin itirazların incelenip, sonuçlandırılması ve diğer işleri yürütür.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(5) </w:t>
      </w:r>
      <w:proofErr w:type="gramStart"/>
      <w:r>
        <w:rPr>
          <w:rFonts w:ascii="Calibri" w:hAnsi="Calibri"/>
          <w:color w:val="1C283D"/>
          <w:sz w:val="22"/>
          <w:szCs w:val="22"/>
        </w:rPr>
        <w:t>Sınav kurulu</w:t>
      </w:r>
      <w:proofErr w:type="gramEnd"/>
      <w:r>
        <w:rPr>
          <w:rFonts w:ascii="Calibri" w:hAnsi="Calibri"/>
          <w:color w:val="1C283D"/>
          <w:sz w:val="22"/>
          <w:szCs w:val="22"/>
        </w:rPr>
        <w:t>, üye tamsayısı ile toplanır. Kararlar oy çokluğuyla alınır.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Unvan değişikliği sınavı</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16 –</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(1) Bu Yönetmelik kapsamındaki personelin, en az ortaöğretim düzeyinde mesleki veya teknik eğitim sonucu ihraz edilen ve  5 inci maddede belirtilen unvan değişikliğine tabi kadrolara ilişkin görevlere atanmaları, sözlü sınava ilişkin hükümler hariç olmak üzere bu Yönetmelikte belirtilen usul ve esaslar çerçevesinde yapılacak unvan değişikliği yazılı sınavı sonundaki başarısına göre gerçekleştirilir.</w:t>
      </w:r>
      <w:proofErr w:type="gramEnd"/>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 xml:space="preserve">(2) Unvan değişikliği sınavı, Bakanlık tarafından belirlenecek görev alanları ve atama yapılacak görevin niteliğine ilişkin konularda Ölçme, Seçme ve Yerleştirme Merkezi Başkanlığına, Milli Eğitim Bakanlığına,  Türkiye ve Orta Doğu Amme İdaresi Enstitüsüne veya yükseköğretim kurumlarından birine yazılı olarak yaptırılır ve bu sınavlara katılacaklarda, kurumda veya öğrenim durumları ile ilgisi bulunmayan görevlerde belirli süre hizmet yapmış olma şartı aranmaz. </w:t>
      </w:r>
      <w:proofErr w:type="gramEnd"/>
      <w:r>
        <w:rPr>
          <w:rFonts w:ascii="Calibri" w:hAnsi="Calibri"/>
          <w:color w:val="1C283D"/>
          <w:sz w:val="22"/>
          <w:szCs w:val="22"/>
        </w:rPr>
        <w:t>Unvan değişikliği sınavı kapsamındaki görevlere, sadece ilgili mahalli idarenin kendi personeli başvurabilir.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Unvan değişikliği sınavında yüz puan üzerinden en az yetmiş puan alanlar başarılı sayılır.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(4) Bu Yönetmelik kapsamındaki personelden doktora öğrenimini bitirmiş olanlar, unvan değişikliği sınavına katılmaksızın öğrenimle ihraz edilen görevlere atanabilirler.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(5) Unvan değişikliği sınavı ile ilgili iş ve işlemleri ilgili mahalli idare yürütür.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Başarı sıralaması</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17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 suretiyle ilan edilen boş kadro sayısı kadar atama yapılmasında başarı puanı esas alınır.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Başarı puanı, şube müdürü, müdür ve bunlarla aynı düzeydeki kadrolara atanacaklar için sözlü sınav;  diğer kadrolara atanacaklar için yazılı sınav puanı esas alınmak suretiyle tespit edilir ve kurumların resmi internet sitesinde ilan edilir. Yapılan puanlama sonunda eşitlik olması durumunda sırasıyla;</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 Hizmet süresi fazla olanlara,</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Daha üst öğrenimi bitirmiş olanlara,</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Üst öğrenim mezuniyet notu yüksek olanlara,</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öncelik</w:t>
      </w:r>
      <w:proofErr w:type="gramEnd"/>
      <w:r>
        <w:rPr>
          <w:rFonts w:ascii="Calibri" w:hAnsi="Calibri"/>
          <w:color w:val="1C283D"/>
          <w:sz w:val="22"/>
          <w:szCs w:val="22"/>
        </w:rPr>
        <w:t xml:space="preserve"> verilir. Bunların da eşitliği halinde kura ile tespit yapılır.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İlgili mahalli idarece ihtiyaç duyulması halinde görevde yükselme sınavında başarılı olmalarına rağmen, ilan edilen kadro sayısı nedeniyle ataması yapılamayan personelden en fazla ilan edilen kadro sayısı kadar personel, başarı puanlarına göre yedek olarak belirlenebilir.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Görevde yükselme suretiyle atanma</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18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Atanmaya hak kazanan personel, başarı sıralaması listesinin ilan edilmesini müteakip en geç iki ay içinde atanır.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Mahalli idarece tercih alınması durumunda ise başarı puanları esas alınarak ilgili personelin tercihlerine göre atamaları yapılır.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(3) Duyurulan kadrolardan;</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a) Atanma şartlarını taşımadıkları için sınavların geçersiz sayılması veya bu sebeple atamaların iptal edilmesi, </w:t>
      </w:r>
      <w:proofErr w:type="spellStart"/>
      <w:r>
        <w:rPr>
          <w:rFonts w:ascii="Calibri" w:hAnsi="Calibri"/>
          <w:color w:val="1C283D"/>
          <w:sz w:val="22"/>
          <w:szCs w:val="22"/>
        </w:rPr>
        <w:t>atanılan</w:t>
      </w:r>
      <w:proofErr w:type="spellEnd"/>
      <w:r>
        <w:rPr>
          <w:rFonts w:ascii="Calibri" w:hAnsi="Calibri"/>
          <w:color w:val="1C283D"/>
          <w:sz w:val="22"/>
          <w:szCs w:val="22"/>
        </w:rPr>
        <w:t xml:space="preserve"> göreve geçerli bir mazeret olmaksızın süresi içinde başlanmaması ya da atanma hakkından vazgeçilmesi,</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 Emeklilik, vefat, memurluktan çekilme veya çıkarılma, başka unvanlı kadrolara ya da başka bir kuruma naklen atanma,</w:t>
      </w:r>
    </w:p>
    <w:p w:rsidR="00A0418B" w:rsidRDefault="00A0418B" w:rsidP="00A0418B">
      <w:pPr>
        <w:shd w:val="clear" w:color="auto" w:fill="FFFFFF"/>
        <w:spacing w:line="240" w:lineRule="atLeast"/>
        <w:ind w:firstLine="567"/>
        <w:jc w:val="both"/>
        <w:rPr>
          <w:color w:val="1C283D"/>
        </w:rPr>
      </w:pPr>
      <w:proofErr w:type="gramStart"/>
      <w:r>
        <w:rPr>
          <w:rFonts w:ascii="Calibri" w:hAnsi="Calibri"/>
          <w:color w:val="1C283D"/>
          <w:sz w:val="22"/>
          <w:szCs w:val="22"/>
        </w:rPr>
        <w:t>sebepleriyle</w:t>
      </w:r>
      <w:proofErr w:type="gramEnd"/>
      <w:r>
        <w:rPr>
          <w:rFonts w:ascii="Calibri" w:hAnsi="Calibri"/>
          <w:color w:val="1C283D"/>
          <w:sz w:val="22"/>
          <w:szCs w:val="22"/>
        </w:rPr>
        <w:t xml:space="preserve"> boş kalan veya boşalan kadrolara, başarı sıralamasının ilan edildiği tarihten itibaren altı aylık süreyi aşmamak üzere aynı unvanlı kadrolar için yapılacak müteakip sınava ilişkin duyuruya kadar, yedekler arasından başarı sıralamasına göre atama yapılabilir.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(4) Sınava katılanların sınav sonuç belgeleri, ilgililerin özlük dosyalarında saklanır.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lastRenderedPageBreak/>
        <w:t>Sınav sonuçlarına göre yapılacak atamaların izlenmesi</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19 –</w:t>
      </w:r>
      <w:r>
        <w:rPr>
          <w:rStyle w:val="apple-converted-space"/>
          <w:rFonts w:ascii="Calibri" w:hAnsi="Calibri"/>
          <w:color w:val="1C283D"/>
          <w:sz w:val="22"/>
          <w:szCs w:val="22"/>
        </w:rPr>
        <w:t> </w:t>
      </w:r>
      <w:r>
        <w:rPr>
          <w:rFonts w:ascii="Calibri" w:hAnsi="Calibri"/>
          <w:b/>
          <w:bCs/>
          <w:color w:val="1C283D"/>
          <w:sz w:val="22"/>
          <w:szCs w:val="22"/>
        </w:rPr>
        <w:t xml:space="preserve">(Başlığı ile birlikte </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Görevde yükselme ve unvan değişikliği sınavlarının sonuçlarına göre yapılan atamalar, atamanın yapıldığı tarihten itibaren en geç bir ay içerisinde, bir liste halinde Bakanlığa gönderilir.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BEŞİNCİ BÖLÜM</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Çeşitli ve Son Hükümler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Hizmet grupları arasında geçişler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20 –</w:t>
      </w:r>
      <w:r>
        <w:rPr>
          <w:rStyle w:val="apple-converted-space"/>
          <w:rFonts w:ascii="Calibri" w:hAnsi="Calibri"/>
          <w:color w:val="1C283D"/>
          <w:sz w:val="22"/>
          <w:szCs w:val="22"/>
        </w:rPr>
        <w:t> </w:t>
      </w:r>
      <w:r>
        <w:rPr>
          <w:rFonts w:ascii="Calibri" w:hAnsi="Calibri"/>
          <w:color w:val="1C283D"/>
          <w:sz w:val="22"/>
          <w:szCs w:val="22"/>
        </w:rPr>
        <w:t>(1) Bu Yönetmeliğin 5 inci maddesinde düzenlenmiş olan hizmet grupları arasındaki geçişler aşağıdaki esaslar çerçevesinde yapılır.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a)</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 xml:space="preserve">Aynı hizmet grubunun alt hizmet grubu içinde kalmak kaydıyla, ilgili personelin isteği ve </w:t>
      </w:r>
      <w:proofErr w:type="spellStart"/>
      <w:r>
        <w:rPr>
          <w:rFonts w:ascii="Calibri" w:hAnsi="Calibri"/>
          <w:color w:val="1C283D"/>
          <w:sz w:val="22"/>
          <w:szCs w:val="22"/>
        </w:rPr>
        <w:t>atanılacak</w:t>
      </w:r>
      <w:proofErr w:type="spellEnd"/>
      <w:r>
        <w:rPr>
          <w:rFonts w:ascii="Calibri" w:hAnsi="Calibri"/>
          <w:color w:val="1C283D"/>
          <w:sz w:val="22"/>
          <w:szCs w:val="22"/>
        </w:rPr>
        <w:t xml:space="preserve"> kadro için aranan öğrenim şartı ile sertifika gibi belgelere sahip olunması kaydıyla sınav yapılmaksızın atama yapılabilir.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b)</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Gruplar arası görevde yükselme niteliğindeki geçişler ve alt gruptan üst gruplara geçişler görevde yükselme sınavına tabidir. Mahalli idarelerde ve diğer kamu/kurum ve kuruluşlarında, daha önce bulunulan görevler ile bu görevlerle aynı düzey görevlere veya alt görevlere, görevde yükselme sınavına tabi tutulmadan atama yapılabilir.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c) Bu Yönetmelik kapsamı dışında bulunan daha üst görevlerde, en az altı ay süreyle çalışmış olanlar, aranan şartları taşımaları kaydıyla, bu Yönetmeliğin 5 inci maddesinde yer alan “yönetim”,</w:t>
      </w:r>
      <w:r>
        <w:rPr>
          <w:rStyle w:val="apple-converted-space"/>
          <w:rFonts w:ascii="Calibri" w:hAnsi="Calibri"/>
          <w:color w:val="1C283D"/>
          <w:sz w:val="22"/>
          <w:szCs w:val="22"/>
        </w:rPr>
        <w:t> </w:t>
      </w:r>
      <w:r>
        <w:rPr>
          <w:rFonts w:ascii="Calibri" w:hAnsi="Calibri"/>
          <w:b/>
          <w:bCs/>
          <w:color w:val="1C283D"/>
          <w:sz w:val="22"/>
          <w:szCs w:val="22"/>
        </w:rPr>
        <w:t xml:space="preserve">(Değişik </w:t>
      </w:r>
      <w:proofErr w:type="gramStart"/>
      <w:r>
        <w:rPr>
          <w:rFonts w:ascii="Calibri" w:hAnsi="Calibri"/>
          <w:b/>
          <w:bCs/>
          <w:color w:val="1C283D"/>
          <w:sz w:val="22"/>
          <w:szCs w:val="22"/>
        </w:rPr>
        <w:t>ibare:RG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w:t>
      </w:r>
      <w:r>
        <w:rPr>
          <w:rFonts w:ascii="Calibri" w:hAnsi="Calibri"/>
          <w:color w:val="1C283D"/>
          <w:sz w:val="22"/>
          <w:szCs w:val="22"/>
          <w:u w:val="single"/>
        </w:rPr>
        <w:t>araştırma, planlama ve savunma hizmetleri</w:t>
      </w:r>
      <w:r>
        <w:rPr>
          <w:rFonts w:ascii="Calibri" w:hAnsi="Calibri"/>
          <w:color w:val="1C283D"/>
          <w:sz w:val="22"/>
          <w:szCs w:val="22"/>
        </w:rPr>
        <w:t>”</w:t>
      </w:r>
      <w:r>
        <w:rPr>
          <w:rStyle w:val="apple-converted-space"/>
          <w:rFonts w:ascii="Calibri" w:hAnsi="Calibri"/>
          <w:color w:val="1C283D"/>
          <w:sz w:val="22"/>
          <w:szCs w:val="22"/>
        </w:rPr>
        <w:t> </w:t>
      </w:r>
      <w:r>
        <w:rPr>
          <w:rFonts w:ascii="Calibri" w:hAnsi="Calibri"/>
          <w:b/>
          <w:bCs/>
          <w:color w:val="1C283D"/>
          <w:sz w:val="22"/>
          <w:szCs w:val="22"/>
        </w:rPr>
        <w:t>(Mülga ibare:RG-7/5/2014-28993)</w:t>
      </w:r>
      <w:r>
        <w:rPr>
          <w:rStyle w:val="apple-converted-space"/>
          <w:rFonts w:ascii="Calibri" w:hAnsi="Calibri"/>
          <w:b/>
          <w:bCs/>
          <w:color w:val="1C283D"/>
          <w:sz w:val="22"/>
          <w:szCs w:val="22"/>
        </w:rPr>
        <w:t> </w:t>
      </w:r>
      <w:r>
        <w:rPr>
          <w:rFonts w:ascii="Calibri" w:hAnsi="Calibri"/>
          <w:color w:val="1C283D"/>
          <w:sz w:val="22"/>
          <w:szCs w:val="22"/>
        </w:rPr>
        <w:t>(…) hizmetleri gruplarında gösterilen kadrolara sınavsız atanabilir. Bu Yönetmelik kapsamındaki diğer kadrolara sınavsız atanmak için altı ay çalışmış olmak şartı aranmaz.</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ç)</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d)</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Avukat kadrolarından hukuk müşaviri kadrolarına yapılacak atamalar görevde yükselme sınavına tabi değildir.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e)</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r>
        <w:rPr>
          <w:rStyle w:val="apple-converted-space"/>
          <w:rFonts w:ascii="Calibri" w:hAnsi="Calibri"/>
          <w:b/>
          <w:bCs/>
          <w:color w:val="1C283D"/>
          <w:sz w:val="22"/>
          <w:szCs w:val="22"/>
        </w:rPr>
        <w:t> </w:t>
      </w:r>
      <w:r>
        <w:rPr>
          <w:rFonts w:ascii="Calibri" w:hAnsi="Calibri"/>
          <w:color w:val="1C283D"/>
          <w:sz w:val="22"/>
          <w:szCs w:val="22"/>
        </w:rPr>
        <w:t xml:space="preserve">Bu Yönetmelik kapsamında bulunan ve doktora öğrenimini bitiren personel, </w:t>
      </w:r>
      <w:proofErr w:type="spellStart"/>
      <w:r>
        <w:rPr>
          <w:rFonts w:ascii="Calibri" w:hAnsi="Calibri"/>
          <w:color w:val="1C283D"/>
          <w:sz w:val="22"/>
          <w:szCs w:val="22"/>
        </w:rPr>
        <w:t>atanılacak</w:t>
      </w:r>
      <w:proofErr w:type="spellEnd"/>
      <w:r>
        <w:rPr>
          <w:rFonts w:ascii="Calibri" w:hAnsi="Calibri"/>
          <w:color w:val="1C283D"/>
          <w:sz w:val="22"/>
          <w:szCs w:val="22"/>
        </w:rPr>
        <w:t xml:space="preserve"> görev için aranan toplam hizmet süresine sahip olmaları ve mevzuatla aranan öğrenim şartını taşımaları kaydıyla uzman veya aynı düzeydeki görevler ile daha alt görevlere, görevde yükselme sınavına tabi tutulmadan atanabilirler.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Zabıta ve itfaiye personeli</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21 –</w:t>
      </w:r>
      <w:r>
        <w:rPr>
          <w:rStyle w:val="apple-converted-space"/>
          <w:rFonts w:ascii="Calibri" w:hAnsi="Calibri"/>
          <w:color w:val="1C283D"/>
          <w:sz w:val="22"/>
          <w:szCs w:val="22"/>
        </w:rPr>
        <w:t> </w:t>
      </w:r>
      <w:r>
        <w:rPr>
          <w:rFonts w:ascii="Calibri" w:hAnsi="Calibri"/>
          <w:color w:val="1C283D"/>
          <w:sz w:val="22"/>
          <w:szCs w:val="22"/>
        </w:rPr>
        <w:t>(1) Zabıta ve itfaiye personelinin görevde yükselme işlemleri, ilgili mevzuat hükümlerine göre yürütülür.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Kazanılmış haklar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22 –</w:t>
      </w:r>
      <w:r>
        <w:rPr>
          <w:rFonts w:ascii="Calibri" w:hAnsi="Calibri"/>
          <w:color w:val="1C283D"/>
          <w:sz w:val="22"/>
          <w:szCs w:val="22"/>
        </w:rPr>
        <w:t>  (1) Bu Yönetmelik kapsamında bulunan unvanları, daha önce ilgili mevzuat hükümlerine uygun olarak kazananların ve bu kadrolara atananların hakları saklıdır.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Yürürlükten kaldırılan mevzuat</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23 –</w:t>
      </w:r>
      <w:r>
        <w:rPr>
          <w:rStyle w:val="apple-converted-space"/>
          <w:rFonts w:ascii="Calibri" w:hAnsi="Calibri"/>
          <w:color w:val="1C283D"/>
          <w:sz w:val="22"/>
          <w:szCs w:val="22"/>
        </w:rPr>
        <w:t> </w:t>
      </w:r>
      <w:r>
        <w:rPr>
          <w:rFonts w:ascii="Calibri" w:hAnsi="Calibri"/>
          <w:color w:val="1C283D"/>
          <w:sz w:val="22"/>
          <w:szCs w:val="22"/>
        </w:rPr>
        <w:t xml:space="preserve">(1) </w:t>
      </w:r>
      <w:proofErr w:type="gramStart"/>
      <w:r>
        <w:rPr>
          <w:rFonts w:ascii="Calibri" w:hAnsi="Calibri"/>
          <w:color w:val="1C283D"/>
          <w:sz w:val="22"/>
          <w:szCs w:val="22"/>
        </w:rPr>
        <w:t>2/2/2000</w:t>
      </w:r>
      <w:proofErr w:type="gramEnd"/>
      <w:r>
        <w:rPr>
          <w:rFonts w:ascii="Calibri" w:hAnsi="Calibri"/>
          <w:color w:val="1C283D"/>
          <w:sz w:val="22"/>
          <w:szCs w:val="22"/>
        </w:rPr>
        <w:t xml:space="preserve"> tarihli ve 23952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İl Özel İdareleri, Belediyeler ve İl Özel İdareleri ve Belediyelerin Kurdukları Birlik, Müessese ve İşletmeler ile Bunlara Bağlı Döner Sermayeli Kuruluşlardaki Memurların Görevde Yükselme ve Unvan Değişikliği Esaslarına Dair Yönetmelik yürürlükten kaldırılmıştır.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Engellilerin sınavları</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EK MADDE 1 – (</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Mahalli idareler, gerekli şartları taşıyan ve atama yapılacak görevi yapabilecek durumda bulunan engellilerin sınavlarının yapılabilmesi için gerekli tedbirleri alırlar.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Naklen atamalar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EK MADDE 2 – (</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(1) Diğer kamu kurum ve kuruluşlarında görev yapanlardan, bu Yönetmelikte belirtilen aynı unvana, bu unvanın bulunduğu aynı alt gruptaki diğer unvanlara genel hükümlere göre naklen atama yapılabilir. Ancak; müdür, şube müdürü ve aynı düzeydeki diğer görevlere atanacaklarda ilgili unvan için belirtilen öğrenim şartı aranır.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lastRenderedPageBreak/>
        <w:t>(2) Diğer personel kanunlarına tabi olanların atamalarında ihraz ettikleri unvanların karşılığı, bu Yönetmelikte aynı unvanın olmaması halinde Devlet Personel Başkanlığının görüşü doğrultusunda belirlenir.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Geçici hükümler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GEÇİCİ MADDE 1 –</w:t>
      </w:r>
      <w:r>
        <w:rPr>
          <w:rStyle w:val="apple-converted-space"/>
          <w:rFonts w:ascii="Calibri" w:hAnsi="Calibri"/>
          <w:color w:val="1C283D"/>
          <w:sz w:val="22"/>
          <w:szCs w:val="22"/>
        </w:rPr>
        <w:t> </w:t>
      </w:r>
      <w:r>
        <w:rPr>
          <w:rFonts w:ascii="Calibri" w:hAnsi="Calibri"/>
          <w:color w:val="1C283D"/>
          <w:sz w:val="22"/>
          <w:szCs w:val="22"/>
        </w:rPr>
        <w:t xml:space="preserve">(1) Kamu Kurum ve Kuruluşlarında Görevde Yükselme ve Unvan Değişikliği Esaslarına Dair Genel Yönetmeliğin yürürlüğe girdiği </w:t>
      </w:r>
      <w:proofErr w:type="gramStart"/>
      <w:r>
        <w:rPr>
          <w:rFonts w:ascii="Calibri" w:hAnsi="Calibri"/>
          <w:color w:val="1C283D"/>
          <w:sz w:val="22"/>
          <w:szCs w:val="22"/>
        </w:rPr>
        <w:t>18/4/1999</w:t>
      </w:r>
      <w:proofErr w:type="gramEnd"/>
      <w:r>
        <w:rPr>
          <w:rFonts w:ascii="Calibri" w:hAnsi="Calibri"/>
          <w:color w:val="1C283D"/>
          <w:sz w:val="22"/>
          <w:szCs w:val="22"/>
        </w:rPr>
        <w:t xml:space="preserve"> tarihinde görevde bulunan ve aynı tarih itibarıyla iki yıllık yükseköğrenim mezunu olanlar, diğer koşullara sahip oldukları takdirde 7 </w:t>
      </w:r>
      <w:proofErr w:type="spellStart"/>
      <w:r>
        <w:rPr>
          <w:rFonts w:ascii="Calibri" w:hAnsi="Calibri"/>
          <w:color w:val="1C283D"/>
          <w:sz w:val="22"/>
          <w:szCs w:val="22"/>
        </w:rPr>
        <w:t>nci</w:t>
      </w:r>
      <w:proofErr w:type="spellEnd"/>
      <w:r>
        <w:rPr>
          <w:rFonts w:ascii="Calibri" w:hAnsi="Calibri"/>
          <w:color w:val="1C283D"/>
          <w:sz w:val="22"/>
          <w:szCs w:val="22"/>
        </w:rPr>
        <w:t xml:space="preserve"> maddenin uygulanması bakımından dört yıllık yükseköğrenim mezunu kabul edilir.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(2) Bu Yönetmeliğin yürürlüğe girdiği 2009 yılı için ilgili mahalli idareler, Temmuz ayının sonuna kadar görevde yükselme eğitimine tabi tutmak istediği personelin niteliklerini ve sayısını valiliklere bildirir. Valiliklere gelen başvurular, tek liste halinde en geç 15 Ağustos 2009 tarihine kadar Bakanlığa gönderilir. Bakanlık bu listeleri birleştirerek eğitim verecek kuruma iletir.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Geçiş hükmü</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GEÇİCİ MADDE 2 – (</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(1) Bu maddenin yürürlüğe girdiği 2014 yılı için ilgili mahalli idareler, Temmuz ayının sonuna kadar görevde yükselme ve unvan değişikliği sınavına tabi tutmak istediği personelin niteliklerini ve sayısını valiliklere bildirir. Valiliklere gelen başvurular, tek liste halinde en geç </w:t>
      </w:r>
      <w:proofErr w:type="gramStart"/>
      <w:r>
        <w:rPr>
          <w:rFonts w:ascii="Calibri" w:hAnsi="Calibri"/>
          <w:color w:val="1C283D"/>
          <w:sz w:val="22"/>
          <w:szCs w:val="22"/>
        </w:rPr>
        <w:t>15/8/2014</w:t>
      </w:r>
      <w:proofErr w:type="gramEnd"/>
      <w:r>
        <w:rPr>
          <w:rFonts w:ascii="Calibri" w:hAnsi="Calibri"/>
          <w:color w:val="1C283D"/>
          <w:sz w:val="22"/>
          <w:szCs w:val="22"/>
        </w:rPr>
        <w:t xml:space="preserve"> tarihine kadar Bakanlığa gönderilir.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Tüzel kişiliği sona eren mahalli idarelerdeki çalışma süresi</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GEÇİCİ MADDE 3 – (</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xml:space="preserve">(1) Tüzel kişilikleri sona eren mahalli idarelerden devrolunan personel için, 7 </w:t>
      </w:r>
      <w:proofErr w:type="spellStart"/>
      <w:r>
        <w:rPr>
          <w:rFonts w:ascii="Calibri" w:hAnsi="Calibri"/>
          <w:color w:val="1C283D"/>
          <w:sz w:val="22"/>
          <w:szCs w:val="22"/>
        </w:rPr>
        <w:t>nci</w:t>
      </w:r>
      <w:proofErr w:type="spellEnd"/>
      <w:r>
        <w:rPr>
          <w:rFonts w:ascii="Calibri" w:hAnsi="Calibri"/>
          <w:color w:val="1C283D"/>
          <w:sz w:val="22"/>
          <w:szCs w:val="22"/>
        </w:rPr>
        <w:t xml:space="preserve"> maddede belirtilen sürelerin hesabında, tüzel kişiliği sona eren mahalli idarelerdeki çalışma süresi de dikkate alınır.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Yürürlük</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24 –</w:t>
      </w:r>
      <w:r>
        <w:rPr>
          <w:rStyle w:val="apple-converted-space"/>
          <w:rFonts w:ascii="Calibri" w:hAnsi="Calibri"/>
          <w:color w:val="1C283D"/>
          <w:sz w:val="22"/>
          <w:szCs w:val="22"/>
        </w:rPr>
        <w:t> </w:t>
      </w:r>
      <w:r>
        <w:rPr>
          <w:rFonts w:ascii="Calibri" w:hAnsi="Calibri"/>
          <w:color w:val="1C283D"/>
          <w:sz w:val="22"/>
          <w:szCs w:val="22"/>
        </w:rPr>
        <w:t>(1) Bu Yönetmelik yayımı tarihinde yürürlüğe girer.</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Yürütme</w:t>
      </w:r>
    </w:p>
    <w:p w:rsidR="00A0418B" w:rsidRDefault="00A0418B" w:rsidP="00A0418B">
      <w:pPr>
        <w:shd w:val="clear" w:color="auto" w:fill="FFFFFF"/>
        <w:spacing w:line="240" w:lineRule="atLeast"/>
        <w:ind w:firstLine="567"/>
        <w:jc w:val="both"/>
        <w:rPr>
          <w:color w:val="1C283D"/>
        </w:rPr>
      </w:pPr>
      <w:r>
        <w:rPr>
          <w:rFonts w:ascii="Calibri" w:hAnsi="Calibri"/>
          <w:b/>
          <w:bCs/>
          <w:color w:val="1C283D"/>
          <w:sz w:val="22"/>
          <w:szCs w:val="22"/>
        </w:rPr>
        <w:t>MADDE 25 –</w:t>
      </w:r>
      <w:r>
        <w:rPr>
          <w:rStyle w:val="apple-converted-space"/>
          <w:rFonts w:ascii="Calibri" w:hAnsi="Calibri"/>
          <w:color w:val="1C283D"/>
          <w:sz w:val="22"/>
          <w:szCs w:val="22"/>
        </w:rPr>
        <w:t> </w:t>
      </w:r>
      <w:r>
        <w:rPr>
          <w:rFonts w:ascii="Calibri" w:hAnsi="Calibri"/>
          <w:color w:val="1C283D"/>
          <w:sz w:val="22"/>
          <w:szCs w:val="22"/>
        </w:rPr>
        <w:t>(1) Bu Yönetmelik hükümlerini İçişleri Bakanı yürütür.</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A0418B" w:rsidTr="00A0418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8B" w:rsidRDefault="00A0418B">
            <w:pPr>
              <w:spacing w:line="240" w:lineRule="atLeast"/>
            </w:pPr>
            <w:r>
              <w:rPr>
                <w:rFonts w:ascii="Calibri" w:hAnsi="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Yönetmeliğin Yayımlandığı Resmî Gazete’nin</w:t>
            </w:r>
          </w:p>
        </w:tc>
      </w:tr>
      <w:tr w:rsidR="00A0418B" w:rsidTr="00A041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418B" w:rsidRDefault="00A0418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Sayısı</w:t>
            </w:r>
          </w:p>
        </w:tc>
      </w:tr>
      <w:tr w:rsidR="00A0418B" w:rsidTr="00A041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418B" w:rsidRDefault="00A0418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proofErr w:type="gramStart"/>
            <w:r>
              <w:rPr>
                <w:rFonts w:ascii="Calibri" w:hAnsi="Calibri"/>
                <w:sz w:val="22"/>
                <w:szCs w:val="22"/>
              </w:rPr>
              <w:t>4/7/2009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27278</w:t>
            </w:r>
          </w:p>
        </w:tc>
      </w:tr>
      <w:tr w:rsidR="00A0418B" w:rsidTr="00A041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418B" w:rsidRDefault="00A0418B"/>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Yönetmelikte Değişiklik Yapan Yönetmeliklerin Yayımlandığı Resmî Gazetelerin</w:t>
            </w:r>
          </w:p>
        </w:tc>
      </w:tr>
      <w:tr w:rsidR="00A0418B" w:rsidTr="00A0418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418B" w:rsidRDefault="00A0418B"/>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b/>
                <w:bCs/>
                <w:sz w:val="22"/>
                <w:szCs w:val="22"/>
              </w:rPr>
              <w:t>Sayısı</w:t>
            </w:r>
          </w:p>
        </w:tc>
      </w:tr>
      <w:tr w:rsidR="00A0418B" w:rsidTr="00A041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8B" w:rsidRDefault="00A0418B">
            <w:pPr>
              <w:spacing w:line="240" w:lineRule="atLeast"/>
              <w:ind w:left="397" w:hanging="340"/>
            </w:pPr>
            <w:r>
              <w:rPr>
                <w:rFonts w:ascii="Calibri" w:hAnsi="Calibri"/>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proofErr w:type="gramStart"/>
            <w:r>
              <w:rPr>
                <w:rFonts w:ascii="Calibri" w:hAnsi="Calibri"/>
                <w:sz w:val="22"/>
                <w:szCs w:val="22"/>
              </w:rPr>
              <w:t>7/5/2014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28993</w:t>
            </w:r>
          </w:p>
        </w:tc>
      </w:tr>
      <w:tr w:rsidR="00A0418B" w:rsidTr="00A041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8B" w:rsidRDefault="00A0418B">
            <w:pPr>
              <w:spacing w:line="240" w:lineRule="atLeast"/>
              <w:ind w:left="397" w:hanging="340"/>
            </w:pPr>
            <w:r>
              <w:rPr>
                <w:rFonts w:ascii="Calibri" w:hAnsi="Calibri"/>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 </w:t>
            </w:r>
          </w:p>
        </w:tc>
      </w:tr>
      <w:tr w:rsidR="00A0418B" w:rsidTr="00A0418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8B" w:rsidRDefault="00A0418B">
            <w:pPr>
              <w:spacing w:line="240" w:lineRule="atLeast"/>
              <w:ind w:left="397" w:hanging="340"/>
            </w:pPr>
            <w:r>
              <w:rPr>
                <w:rFonts w:ascii="Calibri" w:hAnsi="Calibri"/>
                <w:sz w:val="22"/>
                <w:szCs w:val="22"/>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418B" w:rsidRDefault="00A0418B">
            <w:pPr>
              <w:spacing w:line="240" w:lineRule="atLeast"/>
              <w:jc w:val="center"/>
            </w:pPr>
            <w:r>
              <w:rPr>
                <w:rFonts w:ascii="Calibri" w:hAnsi="Calibri"/>
                <w:sz w:val="22"/>
                <w:szCs w:val="22"/>
              </w:rPr>
              <w:t> </w:t>
            </w:r>
          </w:p>
        </w:tc>
      </w:tr>
    </w:tbl>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Ek-1 Personel Değerlendirme Formu</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Ek-2 Görevde Yükselme Formu</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lastRenderedPageBreak/>
        <w:t>Ek-3 Eğitime Katılma Belgesi</w:t>
      </w:r>
    </w:p>
    <w:p w:rsidR="00A0418B" w:rsidRDefault="00A0418B" w:rsidP="00A0418B">
      <w:pPr>
        <w:shd w:val="clear" w:color="auto" w:fill="FFFFFF"/>
        <w:spacing w:line="240" w:lineRule="atLeast"/>
        <w:ind w:firstLine="567"/>
        <w:jc w:val="center"/>
        <w:rPr>
          <w:color w:val="1C283D"/>
        </w:rPr>
      </w:pPr>
      <w:r>
        <w:rPr>
          <w:rFonts w:ascii="Calibri" w:hAnsi="Calibri"/>
          <w:b/>
          <w:bCs/>
          <w:color w:val="1C283D"/>
          <w:sz w:val="22"/>
          <w:szCs w:val="22"/>
        </w:rPr>
        <w:t> </w:t>
      </w:r>
    </w:p>
    <w:p w:rsidR="00A0418B" w:rsidRDefault="00A0418B" w:rsidP="00A0418B">
      <w:pPr>
        <w:pStyle w:val="3-normalyaz0"/>
        <w:shd w:val="clear" w:color="auto" w:fill="FFFFFF"/>
        <w:spacing w:line="240" w:lineRule="atLeast"/>
        <w:jc w:val="center"/>
        <w:rPr>
          <w:color w:val="1C283D"/>
        </w:rPr>
      </w:pPr>
      <w:r>
        <w:rPr>
          <w:rFonts w:ascii="Calibri" w:hAnsi="Calibri"/>
          <w:b/>
          <w:bCs/>
          <w:color w:val="1C283D"/>
          <w:sz w:val="22"/>
          <w:szCs w:val="22"/>
        </w:rPr>
        <w:t> (</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 </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EK-1</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TEKNİK ÖĞRENİM GEREKTİREN MÜDÜRLÜKLER</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both"/>
        <w:rPr>
          <w:color w:val="1C283D"/>
        </w:rPr>
      </w:pPr>
      <w:r>
        <w:rPr>
          <w:rFonts w:ascii="Calibri" w:hAnsi="Calibri"/>
          <w:b/>
          <w:bCs/>
          <w:color w:val="1C283D"/>
          <w:sz w:val="22"/>
          <w:szCs w:val="22"/>
          <w:u w:val="single"/>
        </w:rPr>
        <w:t>A) BELEDİYE, BAĞLI KURULUŞLARI VE MAHALLİ İDARE BİRLİKLERİ</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 BİLGİ İŞLEM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 ÇEVRE KORUMA VE KONTROL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3- ETÜD PROJE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4- FEN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5- GECEKONDU VE SOSYAL KONUTLAR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6- İMAR VE ŞEHİRCİLİK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7- RUHSAT VE DENETİM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8- KENTSEL TASARIM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9-  MEZBAHA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10- PARK VE BAHÇELER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11- PLAN VE PROJE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12- SAĞLIK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13- SU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14- SU VE KANALİZASYON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15- TEMİZLİK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16- ULAŞIM HİZMETLERİ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17- VETERİNER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18- YAPI KONTROL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19 - ŞUBE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both"/>
        <w:rPr>
          <w:color w:val="1C283D"/>
        </w:rPr>
      </w:pPr>
      <w:r>
        <w:rPr>
          <w:rFonts w:ascii="Calibri" w:hAnsi="Calibri"/>
          <w:b/>
          <w:bCs/>
          <w:color w:val="1C283D"/>
          <w:sz w:val="22"/>
          <w:szCs w:val="22"/>
          <w:u w:val="single"/>
        </w:rPr>
        <w:t>B) İL ÖZEL İDARELERİ</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 BİLGİ İŞLEM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 ÇEVRE KORUMA VE KONTROL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3- ETÜD PROJE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4- İMAR VE ŞEHİRCİLİK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5- PLAN PROJE YATIRIM VE İNŞAAT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6- PLAN VE PROJE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7- RUHSAT VE DENETİM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8- SU VE KANAL HİZMETLERİ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9- SAĞLIK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10- TARIMSAL HİZMETLER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11- YOL VE ULAŞIM HİZMETLERİ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12- VETERİNER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13- YATIRIM VE İNŞAAT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14- MAKİNA İKMAL BAKIM VE ONARIM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15- YAPI KONTROL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16- MÜDÜR</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-7/5/2014-28993)</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EK-2</w:t>
      </w:r>
    </w:p>
    <w:p w:rsidR="00A0418B" w:rsidRDefault="00A0418B" w:rsidP="00A0418B">
      <w:pPr>
        <w:shd w:val="clear" w:color="auto" w:fill="FFFFFF"/>
        <w:spacing w:line="240" w:lineRule="atLeast"/>
        <w:ind w:firstLine="851"/>
        <w:jc w:val="center"/>
        <w:rPr>
          <w:color w:val="1C283D"/>
        </w:rPr>
      </w:pPr>
      <w:r>
        <w:rPr>
          <w:rFonts w:ascii="Calibri" w:hAnsi="Calibri"/>
          <w:b/>
          <w:bCs/>
          <w:color w:val="1C283D"/>
          <w:sz w:val="22"/>
          <w:szCs w:val="22"/>
        </w:rPr>
        <w:t>DİĞER MÜDÜRLÜKLER</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both"/>
        <w:rPr>
          <w:color w:val="1C283D"/>
        </w:rPr>
      </w:pPr>
      <w:r>
        <w:rPr>
          <w:rFonts w:ascii="Calibri" w:hAnsi="Calibri"/>
          <w:b/>
          <w:bCs/>
          <w:color w:val="1C283D"/>
          <w:sz w:val="22"/>
          <w:szCs w:val="22"/>
          <w:u w:val="single"/>
        </w:rPr>
        <w:lastRenderedPageBreak/>
        <w:t>A) BELEDİYE, BAĞLI KURULUŞLARI VE MAHALLİ İDARE BİRLİKLERİ</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 DESTEK HİZMETLERİ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 MALİ HİZMETLER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3- STRATEJİ GELİŞTİRME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4- BASIN YAYIN VE HALKLA İLİŞKİLER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5- BELEDİYE TİYATRO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6- BELEDİYE ORKESTRA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7- DIŞ İLİŞKİLER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8- HASTANE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9- HUZUREVİ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10- İNSAN KAYNAKLARI VE EĞİTİM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11- İŞLETME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12- İŞLETME VE İŞTİRAKLER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13- KREŞ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14- KÜTÜPHANE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15- KÜLTÜR VE SOSYAL İŞLER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16- MEZARLIKLAR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17- SOSYAL YARDIM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18- EMLAK VE İSTİMLÂK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19- HAL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20- HUKUK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21- ŞUBE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both"/>
        <w:rPr>
          <w:color w:val="1C283D"/>
        </w:rPr>
      </w:pPr>
      <w:r>
        <w:rPr>
          <w:rFonts w:ascii="Calibri" w:hAnsi="Calibri"/>
          <w:b/>
          <w:bCs/>
          <w:color w:val="1C283D"/>
          <w:sz w:val="22"/>
          <w:szCs w:val="22"/>
          <w:u w:val="single"/>
        </w:rPr>
        <w:t>B) İL ÖZEL İDARELERİ</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 BASIN YAYIN VE HALKLA İLİŞKİLER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 DESTEK HİZMETLERİ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3- DIŞ İLİŞKİLER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4- ENCÜMEN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5- EMLAK VE İSTİMLÂK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6- HASTANE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7- HUZUREVİ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8- İNSAN KAYNAKLARI VE EĞİTİM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9- İŞLETME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10- İŞLETME VE İŞTİRAKLER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11- KREŞ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12- KÜTÜPHANE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13- KÜLTÜR VE SOSYAL İŞLER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14- MALİ HİZMETLER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15- SOSYAL HİZMETLER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16- STRATEJİ GELİŞTİRME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17- YAZI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18- SATINALMA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19- HUKUK İŞLERİ MÜDÜRÜ</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20- MÜDÜR</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A0418B" w:rsidRDefault="00A0418B" w:rsidP="00A0418B">
      <w:pPr>
        <w:shd w:val="clear" w:color="auto" w:fill="FFFFFF"/>
        <w:spacing w:line="240" w:lineRule="atLeast"/>
        <w:ind w:firstLine="851"/>
        <w:jc w:val="both"/>
        <w:rPr>
          <w:color w:val="1C283D"/>
        </w:rPr>
      </w:pPr>
      <w:r>
        <w:rPr>
          <w:rFonts w:ascii="Calibri" w:hAnsi="Calibri"/>
          <w:color w:val="1C283D"/>
          <w:sz w:val="22"/>
          <w:szCs w:val="22"/>
        </w:rPr>
        <w:t> </w:t>
      </w:r>
    </w:p>
    <w:p w:rsidR="001F41D1" w:rsidRDefault="001F41D1"/>
    <w:sectPr w:rsidR="001F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D1"/>
    <w:rsid w:val="001F41D1"/>
    <w:rsid w:val="00A0418B"/>
    <w:rsid w:val="00CE6AD1"/>
    <w:rsid w:val="00F7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8ACA5-E661-4027-A281-25575604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418B"/>
  </w:style>
  <w:style w:type="paragraph" w:customStyle="1" w:styleId="3-normalyaz0">
    <w:name w:val="3-normalyaz0"/>
    <w:basedOn w:val="Normal"/>
    <w:rsid w:val="00A041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4812</Words>
  <Characters>27434</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Gürbüz Karabulut</dc:creator>
  <cp:keywords/>
  <dc:description/>
  <cp:lastModifiedBy>mustafa gereme</cp:lastModifiedBy>
  <cp:revision>2</cp:revision>
  <dcterms:created xsi:type="dcterms:W3CDTF">2016-01-27T07:49:00Z</dcterms:created>
  <dcterms:modified xsi:type="dcterms:W3CDTF">2016-01-27T07:49:00Z</dcterms:modified>
</cp:coreProperties>
</file>